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200"/>
      </w:pPr>
      <w:r>
        <w:rPr>
          <w:b/>
          <w:sz w:val="40"/>
        </w:rPr>
        <w:t xml:space="preserve">SNOW REMOVAL CONTRACT</w:t>
      </w:r>
    </w:p>
    <w:tbl>
      <w:tblPr>
        <w:tblStyle w:val="TableGrid"/>
        <w:tblW w:w="0" w:type="auto"/>
        <w:tblBorders>
          <w:top w:val="single" w:sz="4" w:color="D6DBE0"/>
          <w:left w:val="none" w:sz="0" w:color="auto"/>
          <w:bottom w:val="single" w:sz="4" w:color="D6DBE0"/>
          <w:right w:val="none" w:sz="0" w:color="auto"/>
          <w:insideH w:val="single" w:sz="4" w:color="E6EAEE"/>
          <w:insideV w:val="none" w:sz="0" w:color="auto"/>
        </w:tblBorders>
      </w:tblPr>
      <w:tblGrid>
        <w:gridCol w:w="5040"/>
        <w:gridCol w:w="5040"/>
      </w:tblGrid>
      <w:tr>
        <w:tc>
          <w:tcPr>
            <w:tcW w:w="5040" w:type="dxa"/>
            <w:shd w:val="clear" w:color="auto" w:fill="F0F3F5"/>
          </w:tcPr>
          <w:p>
            <w:r>
              <w:rPr>
                <w:b/>
                <w:sz w:val="19"/>
              </w:rPr>
              <w:t xml:space="preserve">Contractor</w:t>
            </w:r>
          </w:p>
        </w:tc>
        <w:tc>
          <w:tcPr>
            <w:tcW w:w="5040" w:type="dxa"/>
            <w:shd w:val="clear" w:color="auto" w:fill="F0F3F5"/>
          </w:tcPr>
          <w:p>
            <w:r>
              <w:rPr>
                <w:b/>
                <w:sz w:val="19"/>
              </w:rPr>
              <w:t xml:space="preserve">Client</w:t>
            </w:r>
          </w:p>
        </w:tc>
      </w:tr>
      <w:tr>
        <w:tc>
          <w:tcPr>
            <w:tcW w:w="5040" w:type="dxa"/>
          </w:tcPr>
          <w:p/>
        </w:tc>
        <w:tc>
          <w:tcPr>
            <w:tcW w:w="5040" w:type="dxa"/>
          </w:tcPr>
          <w:p/>
        </w:tc>
      </w:tr>
      <w:tr>
        <w:tc>
          <w:tcPr>
            <w:tcW w:w="5040" w:type="dxa"/>
            <w:shd w:val="clear" w:color="auto" w:fill="F0F3F5"/>
          </w:tcPr>
          <w:p>
            <w:r>
              <w:rPr>
                <w:b/>
                <w:sz w:val="19"/>
              </w:rPr>
              <w:t xml:space="preserve">Property serviced</w:t>
            </w:r>
          </w:p>
        </w:tc>
        <w:tc>
          <w:tcPr>
            <w:tcW w:w="5040" w:type="dxa"/>
            <w:shd w:val="clear" w:color="auto" w:fill="F0F3F5"/>
          </w:tcPr>
          <w:p>
            <w:r>
              <w:rPr>
                <w:b/>
                <w:sz w:val="19"/>
              </w:rPr>
              <w:t xml:space="preserve">Date</w:t>
            </w:r>
          </w:p>
        </w:tc>
      </w:tr>
      <w:tr>
        <w:tc>
          <w:tcPr>
            <w:tcW w:w="5040" w:type="dxa"/>
          </w:tcPr>
          <w:p/>
        </w:tc>
        <w:tc>
          <w:tcPr>
            <w:tcW w:w="5040" w:type="dxa"/>
          </w:tcPr>
          <w:p/>
        </w:tc>
      </w:tr>
      <w:tr>
        <w:tc>
          <w:tcPr>
            <w:tcW w:w="5040" w:type="dxa"/>
            <w:shd w:val="clear" w:color="auto" w:fill="F0F3F5"/>
          </w:tcPr>
          <w:p>
            <w:r>
              <w:rPr>
                <w:b/>
                <w:sz w:val="19"/>
              </w:rPr>
              <w:t xml:space="preserve">Season starts</w:t>
            </w:r>
          </w:p>
        </w:tc>
        <w:tc>
          <w:tcPr>
            <w:tcW w:w="5040" w:type="dxa"/>
            <w:shd w:val="clear" w:color="auto" w:fill="F0F3F5"/>
          </w:tcPr>
          <w:p>
            <w:r>
              <w:rPr>
                <w:b/>
                <w:sz w:val="19"/>
              </w:rPr>
              <w:t xml:space="preserve">Season ends</w:t>
            </w:r>
          </w:p>
        </w:tc>
      </w:tr>
      <w:tr>
        <w:tc>
          <w:tcPr>
            <w:tcW w:w="5040" w:type="dxa"/>
          </w:tcPr>
          <w:p/>
        </w:tc>
        <w:tc>
          <w:tcPr>
            <w:tcW w:w="5040" w:type="dxa"/>
          </w:tcPr>
          <w:p/>
        </w:tc>
      </w:tr>
      <w:tr>
        <w:tc>
          <w:tcPr>
            <w:tcW w:w="5040" w:type="dxa"/>
            <w:shd w:val="clear" w:color="auto" w:fill="F0F3F5"/>
          </w:tcPr>
          <w:p>
            <w:r>
              <w:rPr>
                <w:b/>
                <w:sz w:val="19"/>
              </w:rPr>
              <w:t xml:space="preserve">Trigger depth, inches</w:t>
            </w:r>
          </w:p>
        </w:tc>
        <w:tc>
          <w:tcPr>
            <w:tcW w:w="5040" w:type="dxa"/>
            <w:shd w:val="clear" w:color="auto" w:fill="F0F3F5"/>
          </w:tcPr>
          <w:p>
            <w:r>
              <w:rPr>
                <w:b/>
                <w:sz w:val="19"/>
              </w:rPr>
              <w:t xml:space="preserve">Depth band a push price covers</w:t>
            </w:r>
          </w:p>
        </w:tc>
      </w:tr>
      <w:tr>
        <w:tc>
          <w:tcPr>
            <w:tcW w:w="5040" w:type="dxa"/>
          </w:tcPr>
          <w:p/>
        </w:tc>
        <w:tc>
          <w:tcPr>
            <w:tcW w:w="5040" w:type="dxa"/>
          </w:tcPr>
          <w:p/>
        </w:tc>
      </w:tr>
      <w:tr>
        <w:tc>
          <w:tcPr>
            <w:tcW w:w="5040" w:type="dxa"/>
            <w:shd w:val="clear" w:color="auto" w:fill="F0F3F5"/>
          </w:tcPr>
          <w:p>
            <w:r>
              <w:rPr>
                <w:b/>
                <w:sz w:val="19"/>
              </w:rPr>
              <w:t xml:space="preserve">Price for snow deeper than the band</w:t>
            </w:r>
          </w:p>
        </w:tc>
        <w:tc>
          <w:tcPr>
            <w:tcW w:w="5040" w:type="dxa"/>
            <w:shd w:val="clear" w:color="auto" w:fill="F0F3F5"/>
          </w:tcPr>
          <w:p>
            <w:r>
              <w:rPr>
                <w:b/>
                <w:sz w:val="19"/>
              </w:rPr>
              <w:t xml:space="preserve">Events a seasonal price covers, or all</w:t>
            </w:r>
          </w:p>
        </w:tc>
      </w:tr>
      <w:tr>
        <w:tc>
          <w:tcPr>
            <w:tcW w:w="5040" w:type="dxa"/>
          </w:tcPr>
          <w:p/>
        </w:tc>
        <w:tc>
          <w:tcPr>
            <w:tcW w:w="5040" w:type="dxa"/>
          </w:tcPr>
          <w:p/>
        </w:tc>
      </w:tr>
      <w:tr>
        <w:tc>
          <w:tcPr>
            <w:tcW w:w="5040" w:type="dxa"/>
            <w:shd w:val="clear" w:color="auto" w:fill="F0F3F5"/>
          </w:tcPr>
          <w:p>
            <w:r>
              <w:rPr>
                <w:b/>
                <w:sz w:val="19"/>
              </w:rPr>
              <w:t xml:space="preserve">Salt and ice melt, price per application</w:t>
            </w:r>
          </w:p>
        </w:tc>
        <w:tc>
          <w:tcPr>
            <w:tcW w:w="5040" w:type="dxa"/>
            <w:shd w:val="clear" w:color="auto" w:fill="F0F3F5"/>
          </w:tcPr>
          <w:p>
            <w:r>
              <w:rPr>
                <w:b/>
                <w:sz w:val="19"/>
              </w:rPr>
              <w:t xml:space="preserve">Response window after snowfall stops</w:t>
            </w:r>
          </w:p>
        </w:tc>
      </w:tr>
      <w:tr>
        <w:tc>
          <w:tcPr>
            <w:tcW w:w="5040" w:type="dxa"/>
          </w:tcPr>
          <w:p/>
        </w:tc>
        <w:tc>
          <w:tcPr>
            <w:tcW w:w="5040" w:type="dxa"/>
          </w:tcPr>
          <w:p/>
        </w:tc>
      </w:tr>
      <w:tr>
        <w:tc>
          <w:tcPr>
            <w:tcW w:w="5040" w:type="dxa"/>
            <w:shd w:val="clear" w:color="auto" w:fill="F0F3F5"/>
          </w:tcPr>
          <w:p>
            <w:r>
              <w:rPr>
                <w:b/>
                <w:sz w:val="19"/>
              </w:rPr>
              <w:t xml:space="preserve">Damage reporting window</w:t>
            </w:r>
          </w:p>
        </w:tc>
        <w:tc>
          <w:tcPr>
            <w:tcW w:w="5040" w:type="dxa"/>
            <w:shd w:val="clear" w:color="auto" w:fill="F0F3F5"/>
          </w:tcPr>
          <w:p>
            <w:r>
              <w:rPr>
                <w:b/>
                <w:sz w:val="19"/>
              </w:rPr>
              <w:t xml:space="preserve">Cancellation notice period</w:t>
            </w:r>
          </w:p>
        </w:tc>
      </w:tr>
      <w:tr>
        <w:tc>
          <w:tcPr>
            <w:tcW w:w="5040" w:type="dxa"/>
          </w:tcPr>
          <w:p/>
        </w:tc>
        <w:tc>
          <w:tcPr>
            <w:tcW w:w="5040" w:type="dxa"/>
          </w:tcPr>
          <w:p/>
        </w:tc>
      </w:tr>
    </w:tbl>
    <w:p>
      <w:pPr>
        <w:spacing w:before="0" w:after="200"/>
      </w:pPr>
    </w:p>
    <w:p>
      <w:pPr>
        <w:spacing w:before="200" w:after="80"/>
      </w:pPr>
      <w:r>
        <w:rPr>
          <w:b/>
          <w:sz w:val="24"/>
        </w:rPr>
        <w:t xml:space="preserve">1. AREAS SERVICED</w:t>
      </w:r>
    </w:p>
    <w:p>
      <w:pPr>
        <w:spacing w:before="0" w:after="200"/>
        <w:pBdr>
          <w:bottom w:val="single" w:sz="6" w:space="1" w:color="BFC6CC"/>
        </w:pBdr>
      </w:pPr>
    </w:p>
    <w:p>
      <w:pPr>
        <w:spacing w:before="0" w:after="200"/>
        <w:pBdr>
          <w:bottom w:val="single" w:sz="6" w:space="1" w:color="BFC6CC"/>
        </w:pBdr>
      </w:pPr>
    </w:p>
    <w:p>
      <w:pPr>
        <w:spacing w:before="0" w:after="200"/>
        <w:pBdr>
          <w:bottom w:val="single" w:sz="6" w:space="1" w:color="BFC6CC"/>
        </w:pBdr>
      </w:pPr>
    </w:p>
    <w:p>
      <w:pPr>
        <w:spacing w:before="0" w:after="200"/>
        <w:pBdr>
          <w:bottom w:val="single" w:sz="6" w:space="1" w:color="BFC6CC"/>
        </w:pBdr>
      </w:pPr>
    </w:p>
    <w:p>
      <w:pPr>
        <w:spacing w:before="0" w:after="200"/>
        <w:pBdr>
          <w:bottom w:val="single" w:sz="6" w:space="1" w:color="BFC6CC"/>
        </w:pBdr>
      </w:pPr>
    </w:p>
    <w:p>
      <w:pPr>
        <w:spacing w:before="0" w:after="120"/>
      </w:pPr>
      <w:r>
        <w:rPr>
          <w:sz w:val="19"/>
        </w:rPr>
        <w:t xml:space="preserve">Areas not listed above are not serviced under this contract. Hauling snow off the property is not included unless it is listed. Site map attached, marked with the areas serviced and the snow stacking locations:  yes ____  no ____</w:t>
      </w:r>
    </w:p>
    <w:p>
      <w:pPr>
        <w:spacing w:before="200" w:after="80"/>
      </w:pPr>
      <w:r>
        <w:rPr>
          <w:b/>
          <w:sz w:val="24"/>
        </w:rPr>
        <w:t xml:space="preserve">2. PRICE AND PAYMENT</w:t>
      </w:r>
    </w:p>
    <w:p>
      <w:pPr>
        <w:spacing w:before="0" w:after="120"/>
      </w:pPr>
      <w:r>
        <w:rPr>
          <w:sz w:val="19"/>
        </w:rPr>
        <w:t xml:space="preserve">Price: ________   Pricing basis, one of: Per season, Per push, Per event, Hourly</w:t>
      </w:r>
    </w:p>
    <w:p>
      <w:pPr>
        <w:spacing w:before="0" w:after="200"/>
        <w:pBdr>
          <w:bottom w:val="single" w:sz="6" w:space="1" w:color="BFC6CC"/>
        </w:pBdr>
      </w:pPr>
    </w:p>
    <w:p>
      <w:pPr>
        <w:spacing w:before="0" w:after="200"/>
        <w:pBdr>
          <w:bottom w:val="single" w:sz="6" w:space="1" w:color="BFC6CC"/>
        </w:pBdr>
      </w:pPr>
    </w:p>
    <w:p>
      <w:pPr>
        <w:spacing w:before="0" w:after="200"/>
        <w:pBdr>
          <w:bottom w:val="single" w:sz="6" w:space="1" w:color="BFC6CC"/>
        </w:pBdr>
      </w:pPr>
    </w:p>
    <w:p>
      <w:pPr>
        <w:spacing w:before="0" w:after="200"/>
        <w:pBdr>
          <w:bottom w:val="single" w:sz="6" w:space="1" w:color="BFC6CC"/>
        </w:pBdr>
      </w:pPr>
    </w:p>
    <w:p>
      <w:pPr>
        <w:spacing w:before="200" w:after="80"/>
      </w:pPr>
      <w:r>
        <w:rPr>
          <w:b/>
          <w:sz w:val="24"/>
        </w:rPr>
        <w:t xml:space="preserve">3. TRIGGER DEPTH AND DEPTH BAND</w:t>
      </w:r>
    </w:p>
    <w:p>
      <w:pPr>
        <w:spacing w:before="0" w:after="120"/>
      </w:pPr>
      <w:r>
        <w:rPr>
          <w:sz w:val="19"/>
        </w:rPr>
        <w:t xml:space="preserve">A visit starts when snowfall at the property reaches the trigger depth written above. A per push price covers one push on snowfall within the depth band written above, and snowfall deeper than the band is billed at the price written for it.</w:t>
      </w:r>
    </w:p>
    <w:p>
      <w:pPr>
        <w:spacing w:before="200" w:after="80"/>
      </w:pPr>
      <w:r>
        <w:rPr>
          <w:b/>
          <w:sz w:val="24"/>
        </w:rPr>
        <w:t xml:space="preserve">4. EVENTS COVERED</w:t>
      </w:r>
    </w:p>
    <w:p>
      <w:pPr>
        <w:spacing w:before="0" w:after="120"/>
      </w:pPr>
      <w:r>
        <w:rPr>
          <w:sz w:val="19"/>
        </w:rPr>
        <w:t xml:space="preserve">A seasonal price covers the number of events written above, or every event between the season start and end dates if the box says all. Events past that number are billed as section 2 says.</w:t>
      </w:r>
    </w:p>
    <w:p>
      <w:pPr>
        <w:spacing w:before="200" w:after="80"/>
      </w:pPr>
      <w:r>
        <w:rPr>
          <w:b/>
          <w:sz w:val="24"/>
        </w:rPr>
        <w:t xml:space="preserve">5. SALT AND ICE MELT</w:t>
      </w:r>
    </w:p>
    <w:p>
      <w:pPr>
        <w:spacing w:before="0" w:after="120"/>
      </w:pPr>
      <w:r>
        <w:rPr>
          <w:sz w:val="19"/>
        </w:rPr>
        <w:t xml:space="preserve">Salt and ice melt are billed per application at the price written above, and every application goes in the service log.</w:t>
      </w:r>
    </w:p>
    <w:p>
      <w:pPr>
        <w:spacing w:before="200" w:after="80"/>
      </w:pPr>
      <w:r>
        <w:rPr>
          <w:b/>
          <w:sz w:val="24"/>
        </w:rPr>
        <w:t xml:space="preserve">6. AREAS AND SNOW STACKING</w:t>
      </w:r>
    </w:p>
    <w:p>
      <w:pPr>
        <w:spacing w:before="0" w:after="120"/>
      </w:pPr>
      <w:r>
        <w:rPr>
          <w:sz w:val="19"/>
        </w:rPr>
        <w:t xml:space="preserve">Only the areas in section 1 are serviced, and snow is stacked only where section 1 or the site map says.</w:t>
      </w:r>
    </w:p>
    <w:p>
      <w:pPr>
        <w:spacing w:before="200" w:after="80"/>
      </w:pPr>
      <w:r>
        <w:rPr>
          <w:b/>
          <w:sz w:val="24"/>
        </w:rPr>
        <w:t xml:space="preserve">7. RESPONSE WINDOW</w:t>
      </w:r>
    </w:p>
    <w:p>
      <w:pPr>
        <w:spacing w:before="0" w:after="120"/>
      </w:pPr>
      <w:r>
        <w:rPr>
          <w:sz w:val="19"/>
        </w:rPr>
        <w:t xml:space="preserve">The contractor starts service within the response window written above, counted from when snowfall stops.</w:t>
      </w:r>
    </w:p>
    <w:p>
      <w:pPr>
        <w:spacing w:before="200" w:after="80"/>
      </w:pPr>
      <w:r>
        <w:rPr>
          <w:b/>
          <w:sz w:val="24"/>
        </w:rPr>
        <w:t xml:space="preserve">8. PRE EXISTING DAMAGE AND DAMAGE REPORTING</w:t>
      </w:r>
    </w:p>
    <w:p>
      <w:pPr>
        <w:spacing w:before="0" w:after="120"/>
      </w:pPr>
      <w:r>
        <w:rPr>
          <w:sz w:val="19"/>
        </w:rPr>
        <w:t xml:space="preserve">Damage present before the first visit is noted on the site map or in writing. Damage believed to be caused by the service is reported in writing within the damage reporting window above.</w:t>
      </w:r>
    </w:p>
    <w:p>
      <w:pPr>
        <w:spacing w:before="200" w:after="80"/>
      </w:pPr>
      <w:r>
        <w:rPr>
          <w:b/>
          <w:sz w:val="24"/>
        </w:rPr>
        <w:t xml:space="preserve">9. DATED SERVICE LOG</w:t>
      </w:r>
    </w:p>
    <w:p>
      <w:pPr>
        <w:spacing w:before="0" w:after="120"/>
      </w:pPr>
      <w:r>
        <w:rPr>
          <w:sz w:val="19"/>
        </w:rPr>
        <w:t xml:space="preserve">The contractor keeps a log of every visit with the date, the depth of snow and whether salt or ice melt went down, and supplies a copy with each invoice.</w:t>
      </w:r>
    </w:p>
    <w:p>
      <w:pPr>
        <w:spacing w:before="200" w:after="80"/>
      </w:pPr>
      <w:r>
        <w:rPr>
          <w:b/>
          <w:sz w:val="24"/>
        </w:rPr>
        <w:t xml:space="preserve">10. INSURANCE</w:t>
      </w:r>
    </w:p>
    <w:p>
      <w:pPr>
        <w:spacing w:before="0" w:after="120"/>
      </w:pPr>
      <w:r>
        <w:rPr>
          <w:sz w:val="19"/>
        </w:rPr>
        <w:t xml:space="preserve">The contractor carries general liability insurance and, where required, workers compensation. A certificate of insurance is available on request.</w:t>
      </w:r>
    </w:p>
    <w:p>
      <w:pPr>
        <w:spacing w:before="200" w:after="80"/>
      </w:pPr>
      <w:r>
        <w:rPr>
          <w:b/>
          <w:sz w:val="24"/>
        </w:rPr>
        <w:t xml:space="preserve">11. PAYMENT</w:t>
      </w:r>
    </w:p>
    <w:p>
      <w:pPr>
        <w:spacing w:before="0" w:after="120"/>
      </w:pPr>
      <w:r>
        <w:rPr>
          <w:sz w:val="19"/>
        </w:rPr>
        <w:t xml:space="preserve">Payment is due as section 2 sets out. Per push, per event and hourly work is invoiced with the service log.</w:t>
      </w:r>
    </w:p>
    <w:p>
      <w:pPr>
        <w:spacing w:before="200" w:after="80"/>
      </w:pPr>
      <w:r>
        <w:rPr>
          <w:b/>
          <w:sz w:val="24"/>
        </w:rPr>
        <w:t xml:space="preserve">12. TERM AND CANCELLATION</w:t>
      </w:r>
    </w:p>
    <w:p>
      <w:pPr>
        <w:spacing w:before="0" w:after="120"/>
      </w:pPr>
      <w:r>
        <w:rPr>
          <w:sz w:val="19"/>
        </w:rPr>
        <w:t xml:space="preserve">This contract runs from the season start date to the season end date. Either party may cancel in writing, effective after the notice period above. The client pays for visits made and salt applied up to cancellation.</w:t>
      </w:r>
    </w:p>
    <w:p>
      <w:pPr>
        <w:spacing w:before="0" w:after="200"/>
      </w:pPr>
    </w:p>
    <w:tbl>
      <w:tblPr>
        <w:tblStyle w:val="TableGrid"/>
        <w:tblW w:w="0" w:type="auto"/>
        <w:tblBorders>
          <w:top w:val="single" w:sz="4" w:color="D6DBE0"/>
          <w:left w:val="none" w:sz="0" w:color="auto"/>
          <w:bottom w:val="single" w:sz="4" w:color="D6DBE0"/>
          <w:right w:val="none" w:sz="0" w:color="auto"/>
          <w:insideH w:val="single" w:sz="4" w:color="E6EAEE"/>
          <w:insideV w:val="none" w:sz="0" w:color="auto"/>
        </w:tblBorders>
      </w:tblPr>
      <w:tblGrid>
        <w:gridCol w:w="5040"/>
        <w:gridCol w:w="5040"/>
      </w:tblGrid>
      <w:tr>
        <w:tc>
          <w:tcPr>
            <w:tcW w:w="5040" w:type="dxa"/>
            <w:shd w:val="clear" w:color="auto" w:fill="F0F3F5"/>
          </w:tcPr>
          <w:p>
            <w:r>
              <w:rPr>
                <w:b/>
                <w:sz w:val="19"/>
              </w:rPr>
              <w:t xml:space="preserve">Contractor signature and date</w:t>
            </w:r>
          </w:p>
        </w:tc>
        <w:tc>
          <w:tcPr>
            <w:tcW w:w="5040" w:type="dxa"/>
            <w:shd w:val="clear" w:color="auto" w:fill="F0F3F5"/>
          </w:tcPr>
          <w:p>
            <w:r>
              <w:rPr>
                <w:b/>
                <w:sz w:val="19"/>
              </w:rPr>
              <w:t xml:space="preserve">Client signature and date</w:t>
            </w:r>
          </w:p>
        </w:tc>
      </w:tr>
      <w:tr>
        <w:tc>
          <w:tcPr>
            <w:tcW w:w="5040" w:type="dxa"/>
          </w:tcPr>
          <w:p/>
        </w:tc>
        <w:tc>
          <w:tcPr>
            <w:tcW w:w="5040" w:type="dxa"/>
          </w:tcPr>
          <w:p/>
        </w:tc>
      </w:tr>
      <w:tr>
        <w:tc>
          <w:tcPr>
            <w:tcW w:w="5040" w:type="dxa"/>
            <w:shd w:val="clear" w:color="auto" w:fill="F0F3F5"/>
          </w:tcPr>
          <w:p>
            <w:r>
              <w:rPr>
                <w:b/>
                <w:sz w:val="19"/>
              </w:rPr>
              <w:t xml:space="preserve">Print name</w:t>
            </w:r>
          </w:p>
        </w:tc>
        <w:tc>
          <w:tcPr>
            <w:tcW w:w="5040" w:type="dxa"/>
            <w:shd w:val="clear" w:color="auto" w:fill="F0F3F5"/>
          </w:tcPr>
          <w:p>
            <w:r>
              <w:rPr>
                <w:b/>
                <w:sz w:val="19"/>
              </w:rPr>
              <w:t xml:space="preserve">Print name</w:t>
            </w:r>
          </w:p>
        </w:tc>
      </w:tr>
      <w:tr>
        <w:tc>
          <w:tcPr>
            <w:tcW w:w="5040" w:type="dxa"/>
          </w:tcPr>
          <w:p/>
        </w:tc>
        <w:tc>
          <w:tcPr>
            <w:tcW w:w="5040" w:type="dxa"/>
          </w:tcPr>
          <w:p/>
        </w:tc>
      </w:tr>
    </w:tbl>
    <w:p>
      <w:pPr>
        <w:spacing w:before="0" w:after="200"/>
      </w:pPr>
    </w:p>
    <w:p>
      <w:pPr>
        <w:spacing w:before="0" w:after="120"/>
      </w:pPr>
      <w:r>
        <w:rPr>
          <w:i/>
          <w:color w:val="6B7682"/>
          <w:sz w:val="16"/>
        </w:rPr>
        <w:t xml:space="preserve">Have a construction attorney in your state review this once before you use it. This is general information and not legal advice.</w:t>
      </w:r>
    </w:p>
    <w:p>
      <w:pPr>
        <w:spacing w:before="0" w:after="120"/>
      </w:pPr>
      <w:r>
        <w:rPr>
          <w:i/>
          <w:color w:val="6B7682"/>
          <w:sz w:val="16"/>
        </w:rPr>
        <w:t xml:space="preserve">Free template from contractorhandbook.com. No signup, no watermark. This is a general business template, not legal advice.</w:t>
      </w:r>
    </w:p>
    <w:sectPr>
      <w:pgSz w:w="12240" w:h="15840"/>
      <w:pgMar w:top="1080" w:right="1080" w:bottom="1080" w:left="1080" w:header="720" w:footer="720" w:gutter="0"/>
    </w:sectPr>
  </w:body>
</w:document>
</file>

<file path=docProps/core.xml><?xml version="1.0" encoding="utf-8"?>
<cp:coreProperties xmlns:cp="http://schemas.openxmlformats.org/package/2006/metadata/core-properties" xmlns:dc="http://purl.org/dc/elements/1.1/">
  <dc:title>Snow Removal Contract template</dc:title>
  <dc:creator>Contractor Handbook</dc:creator>
</cp:coreProperties>
</file>