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CONTRACTOR AGREEMENT</w:t>
      </w: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w:t>
            </w:r>
          </w:p>
        </w:tc>
        <w:tc>
          <w:tcPr>
            <w:tcW w:w="5040" w:type="dxa"/>
            <w:shd w:val="clear" w:color="auto" w:fill="F0F3F5"/>
          </w:tcPr>
          <w:p>
            <w:r>
              <w:rPr>
                <w:b/>
                <w:sz w:val="19"/>
              </w:rPr>
              <w:t xml:space="preserve">Client</w:t>
            </w:r>
          </w:p>
        </w:tc>
      </w:tr>
      <w:tr>
        <w:tc>
          <w:tcPr>
            <w:tcW w:w="5040" w:type="dxa"/>
          </w:tcPr>
          <w:p/>
        </w:tc>
        <w:tc>
          <w:tcPr>
            <w:tcW w:w="5040" w:type="dxa"/>
          </w:tcPr>
          <w:p/>
        </w:tc>
      </w:tr>
      <w:tr>
        <w:tc>
          <w:tcPr>
            <w:tcW w:w="5040" w:type="dxa"/>
            <w:shd w:val="clear" w:color="auto" w:fill="F0F3F5"/>
          </w:tcPr>
          <w:p>
            <w:r>
              <w:rPr>
                <w:b/>
                <w:sz w:val="19"/>
              </w:rPr>
              <w:t xml:space="preserve">Job address</w:t>
            </w:r>
          </w:p>
        </w:tc>
        <w:tc>
          <w:tcPr>
            <w:tcW w:w="5040" w:type="dxa"/>
            <w:shd w:val="clear" w:color="auto" w:fill="F0F3F5"/>
          </w:tcPr>
          <w:p>
            <w:r>
              <w:rPr>
                <w:b/>
                <w:sz w:val="19"/>
              </w:rPr>
              <w:t xml:space="preserve">Agreement date</w:t>
            </w:r>
          </w:p>
        </w:tc>
      </w:tr>
      <w:tr>
        <w:tc>
          <w:tcPr>
            <w:tcW w:w="5040" w:type="dxa"/>
          </w:tcPr>
          <w:p/>
        </w:tc>
        <w:tc>
          <w:tcPr>
            <w:tcW w:w="5040" w:type="dxa"/>
          </w:tcPr>
          <w:p/>
        </w:tc>
      </w:tr>
      <w:tr>
        <w:tc>
          <w:tcPr>
            <w:tcW w:w="5040" w:type="dxa"/>
            <w:shd w:val="clear" w:color="auto" w:fill="F0F3F5"/>
          </w:tcPr>
          <w:p>
            <w:r>
              <w:rPr>
                <w:b/>
                <w:sz w:val="19"/>
              </w:rPr>
              <w:t xml:space="preserve">Start date</w:t>
            </w:r>
          </w:p>
        </w:tc>
        <w:tc>
          <w:tcPr>
            <w:tcW w:w="5040" w:type="dxa"/>
            <w:shd w:val="clear" w:color="auto" w:fill="F0F3F5"/>
          </w:tcPr>
          <w:p>
            <w:r>
              <w:rPr>
                <w:b/>
                <w:sz w:val="19"/>
              </w:rPr>
              <w:t xml:space="preserve">Substantial completion</w:t>
            </w:r>
          </w:p>
        </w:tc>
      </w:tr>
      <w:tr>
        <w:tc>
          <w:tcPr>
            <w:tcW w:w="5040" w:type="dxa"/>
          </w:tcPr>
          <w:p/>
        </w:tc>
        <w:tc>
          <w:tcPr>
            <w:tcW w:w="5040" w:type="dxa"/>
          </w:tcPr>
          <w:p/>
        </w:tc>
      </w:tr>
    </w:tbl>
    <w:p>
      <w:pPr>
        <w:spacing w:before="0" w:after="200"/>
      </w:pPr>
    </w:p>
    <w:p>
      <w:pPr>
        <w:spacing w:before="200" w:after="80"/>
      </w:pPr>
      <w:r>
        <w:rPr>
          <w:b/>
          <w:sz w:val="24"/>
        </w:rPr>
        <w:t xml:space="preserve">1. Scope of work</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200" w:after="80"/>
      </w:pPr>
      <w:r>
        <w:rPr>
          <w:b/>
          <w:sz w:val="24"/>
        </w:rPr>
        <w:t xml:space="preserve">2. Price and payment</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200" w:after="80"/>
      </w:pPr>
      <w:r>
        <w:rPr>
          <w:b/>
          <w:sz w:val="24"/>
        </w:rPr>
        <w:t xml:space="preserve">3. Change orders</w:t>
      </w:r>
    </w:p>
    <w:p>
      <w:pPr>
        <w:spacing w:before="0" w:after="120"/>
      </w:pPr>
      <w:r>
        <w:rPr>
          <w:sz w:val="19"/>
        </w:rPr>
        <w:t xml:space="preserve">Any change to the scope must be agreed in writing and priced before the work is performed. An approved change order adjusts both the contract price and the completion date. Verbal changes are not binding.</w:t>
      </w:r>
    </w:p>
    <w:p>
      <w:pPr>
        <w:spacing w:before="200" w:after="80"/>
      </w:pPr>
      <w:r>
        <w:rPr>
          <w:b/>
          <w:sz w:val="24"/>
        </w:rPr>
        <w:t xml:space="preserve">4. Substantial completion</w:t>
      </w:r>
    </w:p>
    <w:p>
      <w:pPr>
        <w:spacing w:before="0" w:after="120"/>
      </w:pPr>
      <w:r>
        <w:rPr>
          <w:sz w:val="19"/>
        </w:rPr>
        <w:t xml:space="preserve">The work is substantially complete when it is usable for its intended purpose, with only minor items outstanding. Final payment is due on substantial completion less a reasonable holdback for punch list items.</w:t>
      </w:r>
    </w:p>
    <w:p>
      <w:pPr>
        <w:spacing w:before="200" w:after="80"/>
      </w:pPr>
      <w:r>
        <w:rPr>
          <w:b/>
          <w:sz w:val="24"/>
        </w:rPr>
        <w:t xml:space="preserve">5. Delay</w:t>
      </w:r>
    </w:p>
    <w:p>
      <w:pPr>
        <w:spacing w:before="0" w:after="120"/>
      </w:pPr>
      <w:r>
        <w:rPr>
          <w:sz w:val="19"/>
        </w:rPr>
        <w:t xml:space="preserve">Neither party is liable for delay caused by weather, material shortage, permit or inspection timing, or acts of the other party. The completion date extends by the length of any such delay.</w:t>
      </w:r>
    </w:p>
    <w:p>
      <w:pPr>
        <w:spacing w:before="200" w:after="80"/>
      </w:pPr>
      <w:r>
        <w:rPr>
          <w:b/>
          <w:sz w:val="24"/>
        </w:rPr>
        <w:t xml:space="preserve">6. Permits, insurance and license</w:t>
      </w:r>
    </w:p>
    <w:p>
      <w:pPr>
        <w:spacing w:before="0" w:after="120"/>
      </w:pPr>
      <w:r>
        <w:rPr>
          <w:sz w:val="19"/>
        </w:rPr>
        <w:t xml:space="preserve">The contractor pulls the permits listed in the scope and carries general liability insurance and, where required, workers compensation. A certificate of insurance is available on request.</w:t>
      </w:r>
    </w:p>
    <w:p>
      <w:pPr>
        <w:spacing w:before="200" w:after="80"/>
      </w:pPr>
      <w:r>
        <w:rPr>
          <w:b/>
          <w:sz w:val="24"/>
        </w:rPr>
        <w:t xml:space="preserve">7. Warranty</w:t>
      </w:r>
    </w:p>
    <w:p>
      <w:pPr>
        <w:spacing w:before="0" w:after="120"/>
      </w:pPr>
      <w:r>
        <w:rPr>
          <w:sz w:val="19"/>
        </w:rPr>
        <w:t xml:space="preserve">The contractor warrants workmanship for one year from substantial completion. Manufacturer warranties on materials pass through to the client.</w:t>
      </w:r>
    </w:p>
    <w:p>
      <w:pPr>
        <w:spacing w:before="200" w:after="80"/>
      </w:pPr>
      <w:r>
        <w:rPr>
          <w:b/>
          <w:sz w:val="24"/>
        </w:rPr>
        <w:t xml:space="preserve">8. Termination</w:t>
      </w:r>
    </w:p>
    <w:p>
      <w:pPr>
        <w:spacing w:before="0" w:after="120"/>
      </w:pPr>
      <w:r>
        <w:rPr>
          <w:sz w:val="19"/>
        </w:rPr>
        <w:t xml:space="preserve">Either party may terminate on written notice. On termination the client pays for work performed and materials ordered to that date, plus non refundable committed costs.</w:t>
      </w:r>
    </w:p>
    <w:p>
      <w:pPr>
        <w:spacing w:before="200" w:after="80"/>
      </w:pPr>
      <w:r>
        <w:rPr>
          <w:b/>
          <w:sz w:val="24"/>
        </w:rPr>
        <w:t xml:space="preserve">9. Disputes</w:t>
      </w:r>
    </w:p>
    <w:p>
      <w:pPr>
        <w:spacing w:before="0" w:after="120"/>
      </w:pPr>
      <w:r>
        <w:rPr>
          <w:sz w:val="19"/>
        </w:rPr>
        <w:t xml:space="preserve">The parties will attempt to resolve any dispute directly before starting any proceeding. This agreement is governed by the law of the state where the job is located.</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Contractor signature and date</w:t>
            </w:r>
          </w:p>
        </w:tc>
        <w:tc>
          <w:tcPr>
            <w:tcW w:w="5040" w:type="dxa"/>
            <w:shd w:val="clear" w:color="auto" w:fill="F0F3F5"/>
          </w:tcPr>
          <w:p>
            <w:r>
              <w:rPr>
                <w:b/>
                <w:sz w:val="19"/>
              </w:rPr>
              <w:t xml:space="preserve">Client signature and 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Print name</w:t>
            </w:r>
          </w:p>
        </w:tc>
      </w:tr>
      <w:tr>
        <w:tc>
          <w:tcPr>
            <w:tcW w:w="5040" w:type="dxa"/>
          </w:tcPr>
          <w:p/>
        </w:tc>
        <w:tc>
          <w:tcPr>
            <w:tcW w:w="5040" w:type="dxa"/>
          </w:tcPr>
          <w:p/>
        </w:tc>
      </w:tr>
    </w:tbl>
    <w:p>
      <w:pPr>
        <w:spacing w:before="0" w:after="200"/>
      </w:pPr>
    </w:p>
    <w:p>
      <w:pPr>
        <w:spacing w:before="0" w:after="120"/>
      </w:pPr>
      <w:r>
        <w:rPr>
          <w:i/>
          <w:color w:val="6B7682"/>
          <w:sz w:val="16"/>
        </w:rPr>
        <w:t xml:space="preserve">Free template from contractorhandbook.com. This is general information, not legal advice. Residential contracting rules are set at state level and often require specific notices, cancellation rights and license disclosure.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Contractor agreement template</dc:title>
  <dc:creator>Contractor Handbook</dc:creator>
</cp:coreProperties>
</file>